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18"/>
          <w:szCs w:val="18"/>
        </w:rPr>
      </w:pPr>
    </w:p>
    <w:p>
      <w:pPr>
        <w:rPr>
          <w:sz w:val="18"/>
          <w:szCs w:val="18"/>
        </w:rPr>
      </w:pPr>
    </w:p>
    <w:p>
      <w:pPr>
        <w:rPr>
          <w:sz w:val="18"/>
          <w:szCs w:val="18"/>
        </w:rPr>
      </w:pPr>
    </w:p>
    <w:p>
      <w:pPr>
        <w:rPr>
          <w:sz w:val="18"/>
          <w:szCs w:val="18"/>
        </w:rPr>
      </w:pPr>
    </w:p>
    <w:p>
      <w:pPr>
        <w:rPr>
          <w:sz w:val="18"/>
          <w:szCs w:val="18"/>
        </w:rPr>
      </w:pPr>
    </w:p>
    <w:p>
      <w:pPr>
        <w:autoSpaceDE w:val="0"/>
        <w:autoSpaceDN w:val="0"/>
        <w:ind w:left="77"/>
        <w:jc w:val="center"/>
        <w:outlineLvl w:val="2"/>
        <w:rPr>
          <w:rFonts w:ascii="宋体" w:hAnsi="宋体" w:cs="宋体"/>
          <w:b/>
          <w:bCs/>
          <w:color w:val="070707"/>
          <w:sz w:val="44"/>
          <w:szCs w:val="44"/>
        </w:rPr>
      </w:pPr>
    </w:p>
    <w:p>
      <w:pPr>
        <w:autoSpaceDE w:val="0"/>
        <w:autoSpaceDN w:val="0"/>
        <w:ind w:left="77"/>
        <w:jc w:val="center"/>
        <w:outlineLvl w:val="2"/>
        <w:rPr>
          <w:rFonts w:ascii="宋体" w:cs="宋体"/>
          <w:b/>
          <w:bCs/>
          <w:sz w:val="44"/>
          <w:szCs w:val="44"/>
        </w:rPr>
      </w:pPr>
      <w:r>
        <w:rPr>
          <w:rFonts w:hint="eastAsia" w:ascii="宋体" w:hAnsi="宋体" w:cs="宋体"/>
          <w:b/>
          <w:bCs/>
          <w:color w:val="070707"/>
          <w:sz w:val="44"/>
          <w:szCs w:val="44"/>
          <w:lang w:eastAsia="zh-CN"/>
        </w:rPr>
        <w:t>液压（客、货）</w:t>
      </w:r>
      <w:r>
        <w:rPr>
          <w:rFonts w:hint="eastAsia" w:ascii="宋体" w:hAnsi="宋体" w:cs="宋体"/>
          <w:b/>
          <w:bCs/>
          <w:color w:val="070707"/>
          <w:sz w:val="44"/>
          <w:szCs w:val="44"/>
        </w:rPr>
        <w:t>电梯年度自检报告</w:t>
      </w:r>
    </w:p>
    <w:p>
      <w:pPr>
        <w:autoSpaceDE w:val="0"/>
        <w:autoSpaceDN w:val="0"/>
        <w:jc w:val="left"/>
        <w:rPr>
          <w:rFonts w:ascii="宋体" w:cs="宋体"/>
          <w:sz w:val="54"/>
          <w:szCs w:val="23"/>
        </w:rPr>
      </w:pPr>
    </w:p>
    <w:tbl>
      <w:tblPr>
        <w:tblStyle w:val="4"/>
        <w:tblW w:w="8183" w:type="dxa"/>
        <w:jc w:val="center"/>
        <w:tblLayout w:type="fixed"/>
        <w:tblCellMar>
          <w:top w:w="0" w:type="dxa"/>
          <w:left w:w="108" w:type="dxa"/>
          <w:bottom w:w="0" w:type="dxa"/>
          <w:right w:w="108" w:type="dxa"/>
        </w:tblCellMar>
      </w:tblPr>
      <w:tblGrid>
        <w:gridCol w:w="2636"/>
        <w:gridCol w:w="5547"/>
      </w:tblGrid>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使用单位名称</w:t>
            </w:r>
            <w:r>
              <w:rPr>
                <w:rFonts w:hint="eastAsia" w:ascii="宋体" w:hAnsi="宋体" w:cs="宋体"/>
                <w:b/>
                <w:kern w:val="0"/>
                <w:sz w:val="32"/>
                <w:szCs w:val="32"/>
              </w:rPr>
              <w:t>:</w:t>
            </w:r>
          </w:p>
        </w:tc>
        <w:tc>
          <w:tcPr>
            <w:tcW w:w="5547" w:type="dxa"/>
            <w:tcBorders>
              <w:top w:val="nil"/>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设备代码</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设备类别</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检验日期</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bl>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hAnsi="宋体" w:cs="宋体"/>
          <w:b/>
          <w:bCs/>
          <w:color w:val="262626"/>
          <w:kern w:val="0"/>
          <w:sz w:val="32"/>
          <w:szCs w:val="32"/>
        </w:rPr>
      </w:pPr>
      <w:r>
        <w:rPr>
          <w:rFonts w:hint="eastAsia" w:ascii="宋体" w:hAnsi="宋体" w:cs="宋体"/>
          <w:b/>
          <w:bCs/>
          <w:color w:val="262626"/>
          <w:kern w:val="0"/>
          <w:sz w:val="32"/>
          <w:szCs w:val="32"/>
        </w:rPr>
        <w:t xml:space="preserve">       </w:t>
      </w:r>
      <w:r>
        <w:rPr>
          <w:rFonts w:hint="eastAsia" w:ascii="宋体" w:hAnsi="宋体" w:cs="宋体"/>
          <w:b/>
          <w:bCs/>
          <w:color w:val="262626"/>
          <w:kern w:val="0"/>
          <w:sz w:val="32"/>
          <w:szCs w:val="32"/>
          <w:lang w:val="en-US" w:eastAsia="zh-CN"/>
        </w:rPr>
        <w:t xml:space="preserve">       </w:t>
      </w:r>
      <w:r>
        <w:rPr>
          <w:rFonts w:hint="eastAsia" w:ascii="宋体" w:hAnsi="宋体" w:cs="宋体"/>
          <w:b/>
          <w:bCs/>
          <w:color w:val="262626"/>
          <w:kern w:val="0"/>
          <w:sz w:val="32"/>
          <w:szCs w:val="32"/>
        </w:rPr>
        <w:t>自检单位：</w:t>
      </w:r>
    </w:p>
    <w:p>
      <w:pPr>
        <w:autoSpaceDE w:val="0"/>
        <w:autoSpaceDN w:val="0"/>
        <w:jc w:val="left"/>
        <w:rPr>
          <w:rFonts w:ascii="宋体" w:hAnsi="宋体" w:cs="宋体"/>
          <w:b/>
          <w:bCs/>
          <w:color w:val="262626"/>
          <w:kern w:val="0"/>
          <w:sz w:val="32"/>
          <w:szCs w:val="32"/>
        </w:rPr>
      </w:pPr>
    </w:p>
    <w:p>
      <w:pPr>
        <w:autoSpaceDE w:val="0"/>
        <w:autoSpaceDN w:val="0"/>
        <w:jc w:val="left"/>
        <w:rPr>
          <w:rFonts w:ascii="宋体" w:hAnsi="宋体" w:cs="宋体"/>
          <w:b/>
          <w:bCs/>
          <w:color w:val="262626"/>
          <w:kern w:val="0"/>
          <w:sz w:val="32"/>
          <w:szCs w:val="32"/>
        </w:rPr>
      </w:pPr>
    </w:p>
    <w:p>
      <w:pPr>
        <w:jc w:val="center"/>
        <w:rPr>
          <w:rFonts w:hint="eastAsia"/>
          <w:b/>
          <w:bCs/>
          <w:sz w:val="30"/>
          <w:szCs w:val="30"/>
        </w:rPr>
      </w:pPr>
    </w:p>
    <w:p>
      <w:pPr>
        <w:rPr>
          <w:sz w:val="18"/>
          <w:szCs w:val="18"/>
        </w:rPr>
      </w:pPr>
    </w:p>
    <w:p>
      <w:pPr>
        <w:rPr>
          <w:sz w:val="18"/>
          <w:szCs w:val="18"/>
        </w:rPr>
      </w:pPr>
      <w:r>
        <w:rPr>
          <w:sz w:val="18"/>
          <w:szCs w:val="18"/>
        </w:rPr>
        <w:br w:type="page"/>
      </w:r>
    </w:p>
    <w:p>
      <w:pPr>
        <w:rPr>
          <w:sz w:val="18"/>
          <w:szCs w:val="18"/>
        </w:rPr>
      </w:pPr>
    </w:p>
    <w:p>
      <w:pPr>
        <w:rPr>
          <w:sz w:val="18"/>
          <w:szCs w:val="18"/>
        </w:rPr>
      </w:pPr>
    </w:p>
    <w:p>
      <w:pPr>
        <w:rPr>
          <w:sz w:val="18"/>
          <w:szCs w:val="18"/>
        </w:rPr>
      </w:pPr>
    </w:p>
    <w:p>
      <w:pPr>
        <w:jc w:val="center"/>
        <w:rPr>
          <w:b/>
          <w:bCs/>
          <w:sz w:val="30"/>
          <w:szCs w:val="30"/>
        </w:rPr>
      </w:pPr>
      <w:r>
        <w:rPr>
          <w:rFonts w:hint="eastAsia"/>
          <w:b/>
          <w:bCs/>
          <w:sz w:val="30"/>
          <w:szCs w:val="30"/>
        </w:rPr>
        <w:t>信息表</w:t>
      </w:r>
    </w:p>
    <w:p>
      <w:pPr>
        <w:rPr>
          <w:sz w:val="15"/>
          <w:szCs w:val="15"/>
        </w:rPr>
      </w:pPr>
    </w:p>
    <w:p>
      <w:pPr>
        <w:rPr>
          <w:sz w:val="15"/>
          <w:szCs w:val="15"/>
        </w:rPr>
      </w:pPr>
    </w:p>
    <w:tbl>
      <w:tblPr>
        <w:tblStyle w:val="4"/>
        <w:tblW w:w="8971" w:type="dxa"/>
        <w:tblInd w:w="7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1185"/>
        <w:gridCol w:w="2728"/>
        <w:gridCol w:w="22"/>
        <w:gridCol w:w="1820"/>
        <w:gridCol w:w="2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使用单位名称</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统一社会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信用代码</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安装地点</w:t>
            </w:r>
          </w:p>
        </w:tc>
        <w:tc>
          <w:tcPr>
            <w:tcW w:w="70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设备品种</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产品型号</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产品编号</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单位内编号</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使用登记证编号</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安全管理人员</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制造单位名称</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制造日期</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改造单位名称</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改造日期</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维护保养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单位名称</w:t>
            </w:r>
          </w:p>
        </w:tc>
        <w:tc>
          <w:tcPr>
            <w:tcW w:w="70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应急救援电话</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设备类别</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使用场所</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设备注册代码</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设备代码</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额定载重量</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顶升型式</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层站门数</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控制方式</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额定速度上行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油缸数量</w:t>
            </w:r>
          </w:p>
        </w:tc>
        <w:tc>
          <w:tcPr>
            <w:tcW w:w="2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额定速度下行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18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自检</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依据</w:t>
            </w:r>
          </w:p>
        </w:tc>
        <w:tc>
          <w:tcPr>
            <w:tcW w:w="8204"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《电梯监督检验和定期检验规则》 （TSG T7001-2023）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自检</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结论</w:t>
            </w:r>
          </w:p>
        </w:tc>
        <w:tc>
          <w:tcPr>
            <w:tcW w:w="8204"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c>
          <w:tcPr>
            <w:tcW w:w="8204"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8" w:hRule="atLeast"/>
          <w:jc w:val="center"/>
        </w:trPr>
        <w:tc>
          <w:tcPr>
            <w:tcW w:w="4702" w:type="dxa"/>
            <w:gridSpan w:val="4"/>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编制人员(签字)：</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自检员签字（2人签字）：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审核人员（签字）：</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自检单位（盖章）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年     月     日</w:t>
            </w:r>
          </w:p>
        </w:tc>
        <w:tc>
          <w:tcPr>
            <w:tcW w:w="4269" w:type="dxa"/>
            <w:gridSpan w:val="2"/>
            <w:shd w:val="clear" w:color="auto" w:fill="auto"/>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安全管理人员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确认（签字）：</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使用单位（盖章）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年      月    日</w:t>
            </w:r>
          </w:p>
        </w:tc>
      </w:tr>
    </w:tbl>
    <w:p>
      <w:pPr>
        <w:rPr>
          <w:sz w:val="15"/>
          <w:szCs w:val="15"/>
        </w:rPr>
      </w:pPr>
    </w:p>
    <w:p>
      <w:pPr>
        <w:rPr>
          <w:sz w:val="15"/>
          <w:szCs w:val="15"/>
        </w:rPr>
      </w:pPr>
    </w:p>
    <w:p>
      <w:pPr>
        <w:rPr>
          <w:sz w:val="15"/>
          <w:szCs w:val="15"/>
        </w:rPr>
      </w:pPr>
    </w:p>
    <w:p>
      <w:pPr>
        <w:rPr>
          <w:sz w:val="15"/>
          <w:szCs w:val="15"/>
        </w:rPr>
      </w:pPr>
    </w:p>
    <w:p>
      <w:pPr>
        <w:rPr>
          <w:sz w:val="15"/>
          <w:szCs w:val="15"/>
        </w:rPr>
      </w:pPr>
    </w:p>
    <w:tbl>
      <w:tblPr>
        <w:tblStyle w:val="4"/>
        <w:tblpPr w:leftFromText="180" w:rightFromText="180" w:vertAnchor="text" w:horzAnchor="page" w:tblpX="1153" w:tblpY="279"/>
        <w:tblOverlap w:val="never"/>
        <w:tblW w:w="9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6"/>
        <w:gridCol w:w="1060"/>
        <w:gridCol w:w="1594"/>
        <w:gridCol w:w="4721"/>
        <w:gridCol w:w="82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r>
              <w:rPr>
                <w:b/>
                <w:bCs/>
                <w:sz w:val="15"/>
                <w:szCs w:val="15"/>
              </w:rPr>
              <w:br w:type="page"/>
            </w:r>
            <w:r>
              <w:rPr>
                <w:rFonts w:hint="eastAsia" w:ascii="宋体" w:hAnsi="宋体" w:eastAsia="宋体" w:cs="宋体"/>
                <w:b/>
                <w:bCs/>
                <w:i w:val="0"/>
                <w:iCs w:val="0"/>
                <w:color w:val="000000"/>
                <w:kern w:val="0"/>
                <w:sz w:val="18"/>
                <w:szCs w:val="18"/>
                <w:u w:val="none"/>
                <w:lang w:val="en-US" w:eastAsia="zh-CN" w:bidi="ar"/>
              </w:rPr>
              <w:t>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检验编号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检验项目名称</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检验内容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检验</w:t>
            </w:r>
          </w:p>
          <w:p>
            <w:pPr>
              <w:keepNext w:val="0"/>
              <w:keepLines w:val="0"/>
              <w:widowControl/>
              <w:suppressLineNumbers w:val="0"/>
              <w:jc w:val="lef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检验</w:t>
            </w:r>
          </w:p>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A1.1.4</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使用资料</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(1）使用登记证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(2）日常维护保养合同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(3）应急救援管理制度和专用钥匙管理制度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A1.2.1.1</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通道及照明</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(1）通往机器空间的通道保持通畅，相关人员能够安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全、方便、无阻碍地使用；如果通往机器空间的通道高出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楼梯所到平面不起过4.0m，可以采用固定的梯子作为通道</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(2）通道照明的设置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A1.2.2.1</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井道照明</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(1）井道内电气照明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*A1.2.2.17</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(1）缓冲器无松动、明显倾斜、断裂、塑性变形、剥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落、破损、严重锈蚀等现象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(2）液位和验证柱塞复位的电气安全装置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(3）对重越程距离标识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(4）对重装置撞板与其缓冲器顶面间的距离</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A1.2.3.3(3)</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A1.2.3.3(3）接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地故障保护措施</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接地故障时的保护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A1.2.3.4</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门旁路装置</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(1）标明"旁路"字样 注：未按照TSG T7001~TSG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T7004，含第2、第3号修改单或者TSG T7001-2023进行过监督检验，定期检验时可以不检验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(2）旁路功能符合性 注：未按照TSG T7001~TSGT7004，含第2、第3号修改单或者TSG T7001-2023进行过监督检验，定期检验时可以不检验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(3）旁路状态下运行的符合性 注：未按照TSG T7001~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TSG T7004，含第2、第3号修改单或者TSG T7001-2023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进行过监督检验，定期检验时可以不检验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(4）独立的监控信号证实轿门处于关闭位置 注：未按照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TSG T7001~TSG T7004，含第2、第3号修改单或者TSG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T7001-2023进行过监督检验，定期检验时可以不检验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紧急操作和动态测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试功能</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(1）紧急操作和动态测试功能有效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A1.2.3.11</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紧急报警装置（对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讲系统）</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(1）轿厢内的紧急报警装置采用由应急电源供电的双向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对讲系统与救援服务持续联系；如果电梯行程大于30m或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者轿厢内与进行紧急操作处之间无法直接对话，则在轿厢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内和进行紧急操作处还设置由应急电源供电的双向对讲系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统或者举似装置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rPr>
          <w:sz w:val="15"/>
          <w:szCs w:val="15"/>
        </w:rPr>
      </w:pPr>
    </w:p>
    <w:p>
      <w:pPr>
        <w:rPr>
          <w:sz w:val="15"/>
          <w:szCs w:val="15"/>
        </w:rPr>
      </w:pPr>
    </w:p>
    <w:p>
      <w:pPr>
        <w:rPr>
          <w:sz w:val="15"/>
          <w:szCs w:val="15"/>
        </w:rPr>
      </w:pPr>
    </w:p>
    <w:p>
      <w:pPr>
        <w:rPr>
          <w:sz w:val="15"/>
          <w:szCs w:val="15"/>
        </w:rPr>
      </w:pPr>
    </w:p>
    <w:p>
      <w:pPr>
        <w:rPr>
          <w:sz w:val="15"/>
          <w:szCs w:val="15"/>
        </w:rPr>
      </w:pPr>
    </w:p>
    <w:p>
      <w:pPr>
        <w:rPr>
          <w:sz w:val="15"/>
          <w:szCs w:val="15"/>
        </w:rPr>
      </w:pPr>
    </w:p>
    <w:p>
      <w:pPr>
        <w:rPr>
          <w:sz w:val="15"/>
          <w:szCs w:val="15"/>
        </w:rPr>
      </w:pPr>
      <w:r>
        <w:rPr>
          <w:sz w:val="15"/>
          <w:szCs w:val="15"/>
        </w:rPr>
        <w:br w:type="page"/>
      </w:r>
    </w:p>
    <w:p>
      <w:pPr>
        <w:rPr>
          <w:sz w:val="15"/>
          <w:szCs w:val="15"/>
        </w:rPr>
      </w:pPr>
    </w:p>
    <w:p>
      <w:pPr>
        <w:rPr>
          <w:sz w:val="15"/>
          <w:szCs w:val="15"/>
        </w:rPr>
      </w:pPr>
    </w:p>
    <w:tbl>
      <w:tblPr>
        <w:tblStyle w:val="4"/>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153"/>
        <w:gridCol w:w="1468"/>
        <w:gridCol w:w="4658"/>
        <w:gridCol w:w="809"/>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A1.2.4.1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驱动主机停止装置</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驱动主机停止装置 驱动主机附近1m之内的主开关或者停止装置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溢流阀工作压力</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检查通常情况下流的调定工作压力不超过满载压力的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140%(A)，最大不高于满载压力的170%(B)［在此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情况下需提供相应的液压管路（包括液压缸）计算说明］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*A1.2.4.7</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手动紧急操作装置</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(1）手动操作的机械装置或者由自动充电的紧急电源供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电的电气装置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(2）手动松开制动器后仅在重力作用下轿厢（运载装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置）不能移动时，能够通过手动机械装置、独立于主电源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供电的手动操作电动装置或者其他措施将轿厢（运载装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置）移动到附近层站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(3）如果电梯的移动可能带动手动机械装置，该装置是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平滑和无辐条的轮子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(4）手动机械装置的电气安全装置 注：对于允许按照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GB 7588-1995及更早标准生产的电梯且未进行监督检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验，定期检验时可以不检验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(5）液压驱动电梯设有手动操作的紧急下降阀，以在失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电时操纵该阀使轿厢向下移动至层站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(6）对于轿厢上装有安全钳或者夹紧装置的液压驱动电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梯，永久性地安装手动泵，以通过操纵该泵使轿厢向上移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(7）在紧急操作处，易于检查轿厢是否在开锁区域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A1.2.5.1</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钢丝绳</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(1）无笼状畸变、绳股挤出、扭结、部分压扁、弯折、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严重锈蚀、铁锈填满绳股间隙、直径小于其公称直径的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90%(A）等达到报废条件的现象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(2）一个捻距内的断丝数情况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A1.2.5.2</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包覆带</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(1）无达到报废条件的现象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(2）监测装置 未按照TSG T7001-2023进行过监督检验，定期检验</w:t>
            </w:r>
            <w:bookmarkStart w:id="0" w:name="_GoBack"/>
            <w:bookmarkEnd w:id="0"/>
            <w:r>
              <w:rPr>
                <w:rFonts w:hint="eastAsia" w:ascii="宋体" w:hAnsi="宋体" w:eastAsia="宋体" w:cs="宋体"/>
                <w:i w:val="0"/>
                <w:iCs w:val="0"/>
                <w:color w:val="000000"/>
                <w:kern w:val="0"/>
                <w:sz w:val="18"/>
                <w:szCs w:val="18"/>
                <w:u w:val="none"/>
                <w:lang w:val="en-US" w:eastAsia="zh-CN" w:bidi="ar"/>
              </w:rPr>
              <w:t>时可以不检验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(3）查看使用时间或者电梯启动次数的装置完好 注：仅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未按照TSG T7001-2023进行过监督检验，定期检验时可以不检验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A1.2.5.3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悬挂装置端部固定</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(1）悬挂装置端部固定可靠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A1.2.5.6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异常长保护措施</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异常伸长时防止电梯正常运行的电气安全装置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bl>
    <w:p>
      <w:pPr>
        <w:rPr>
          <w:sz w:val="15"/>
          <w:szCs w:val="15"/>
        </w:rPr>
      </w:pPr>
      <w:r>
        <w:rPr>
          <w:sz w:val="15"/>
          <w:szCs w:val="15"/>
        </w:rPr>
        <w:br w:type="page"/>
      </w:r>
    </w:p>
    <w:p>
      <w:pPr>
        <w:rPr>
          <w:sz w:val="15"/>
          <w:szCs w:val="15"/>
        </w:rPr>
      </w:pPr>
    </w:p>
    <w:p>
      <w:pPr>
        <w:rPr>
          <w:sz w:val="15"/>
          <w:szCs w:val="15"/>
        </w:rPr>
      </w:pPr>
    </w:p>
    <w:p>
      <w:pPr>
        <w:rPr>
          <w:sz w:val="15"/>
          <w:szCs w:val="15"/>
        </w:rPr>
      </w:pPr>
    </w:p>
    <w:tbl>
      <w:tblPr>
        <w:tblStyle w:val="4"/>
        <w:tblpPr w:leftFromText="180" w:rightFromText="180" w:vertAnchor="text" w:horzAnchor="page" w:tblpX="945" w:tblpY="-402"/>
        <w:tblOverlap w:val="never"/>
        <w:tblW w:w="93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157"/>
        <w:gridCol w:w="1361"/>
        <w:gridCol w:w="3686"/>
        <w:gridCol w:w="1221"/>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*A1.2.5.7</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非金属材质反绳轮</w:t>
            </w:r>
          </w:p>
        </w:tc>
        <w:tc>
          <w:tcPr>
            <w:tcW w:w="368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368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(2）反绳轮上的标识</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lang w:val="en-US" w:eastAsia="zh-CN"/>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368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(3）维护保养</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lang w:val="en-US" w:eastAsia="zh-CN"/>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368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(4）试验前、后的可靠性</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lang w:val="en-US" w:eastAsia="zh-CN"/>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A1.2.6.3(3)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轿厢安全窗电气安全装置</w:t>
            </w:r>
          </w:p>
        </w:tc>
        <w:tc>
          <w:tcPr>
            <w:tcW w:w="368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电气安全装置</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lang w:val="en-US" w:eastAsia="zh-CN"/>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A1.2.6.4(3)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安全门电气安全装置</w:t>
            </w:r>
          </w:p>
        </w:tc>
        <w:tc>
          <w:tcPr>
            <w:tcW w:w="368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电气安全装置</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lang w:val="en-US" w:eastAsia="zh-CN"/>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A1.2.6.6</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对重（平衡重）块</w:t>
            </w:r>
          </w:p>
        </w:tc>
        <w:tc>
          <w:tcPr>
            <w:tcW w:w="368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(1）固定情况的可靠性</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lang w:val="en-US" w:eastAsia="zh-CN"/>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3686"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(2）快速识别数量的措施</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lang w:val="en-US" w:eastAsia="zh-CN"/>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36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(3）非金属材质的标识和报废条件注：对于未按照本项对非金属材质对重（平衡重）块进行过监督检验的电梯，应当至少符合前款第（1)、第（2)、第（4）项的要求</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lang w:val="en-US" w:eastAsia="zh-CN"/>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36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 试验前、后的可靠性</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A1.2.6.8</w:t>
            </w:r>
          </w:p>
        </w:tc>
        <w:tc>
          <w:tcPr>
            <w:tcW w:w="136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明及通风</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(1）轿厢正常照明和通风有效</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36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(2）紧急电源供电的应急照明</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A1.2.6.9</w:t>
            </w:r>
          </w:p>
        </w:tc>
        <w:tc>
          <w:tcPr>
            <w:tcW w:w="13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轿厢语音播报系统</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轿厢语音播报系统的符合性 注：未按照TSG T7001-2023进行过监督检验，定期检验时可以不检验</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*A1.2.7.2</w:t>
            </w:r>
          </w:p>
        </w:tc>
        <w:tc>
          <w:tcPr>
            <w:tcW w:w="136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门间隙</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(1）门扇之间及门扇与立柱、门楣和地坎之间的间隙，对于乘客电梯不大于6mm(A)；对于载货电梯不大于10mm(B）</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361"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(2）在水平滑动层门和折叠层门最快门扇的开启方向，以150N的力施加在一个最不利的点，本条第（1）项所述的间隙对于旁开门不大于30mm(c)，对于中分门其总和不大于45mm(D）</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5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*A1.2.7.4</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门再开启保护装置</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门再开启保护装置的符合性</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5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*A1.2.7.5</w:t>
            </w:r>
          </w:p>
        </w:tc>
        <w:tc>
          <w:tcPr>
            <w:tcW w:w="13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门的运行与向</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(1）层门和轿门正常运行时无脱轨、机械卡阻或者错位现象</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3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(2）层门导向装置失效时，层门保持装置能够使层门保持在原有位置</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(3）最小啮合深度的要求 注：未按照TSG T7001-2023进行过监督检验，定期检验时可以不检验</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宋体" w:hAnsi="宋体" w:eastAsia="宋体" w:cs="宋体"/>
                <w:i w:val="0"/>
                <w:iCs w:val="0"/>
                <w:color w:val="000000"/>
                <w:sz w:val="18"/>
                <w:szCs w:val="18"/>
                <w:u w:val="none"/>
              </w:rPr>
            </w:pPr>
          </w:p>
        </w:tc>
      </w:tr>
    </w:tbl>
    <w:p>
      <w:pPr>
        <w:rPr>
          <w:sz w:val="15"/>
          <w:szCs w:val="15"/>
        </w:rPr>
      </w:pP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rPr>
          <w:lang w:val="en-US" w:eastAsia="zh-CN"/>
        </w:rPr>
      </w:pPr>
      <w:r>
        <w:rPr>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bl>
      <w:tblPr>
        <w:tblStyle w:val="4"/>
        <w:tblW w:w="9060" w:type="dxa"/>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1075"/>
        <w:gridCol w:w="1059"/>
        <w:gridCol w:w="21"/>
        <w:gridCol w:w="1075"/>
        <w:gridCol w:w="3520"/>
        <w:gridCol w:w="802"/>
        <w:gridCol w:w="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7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*A1.2.7.6</w:t>
            </w:r>
          </w:p>
        </w:tc>
        <w:tc>
          <w:tcPr>
            <w:tcW w:w="1080"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自动关闭层门装置</w:t>
            </w:r>
          </w:p>
        </w:tc>
        <w:tc>
          <w:tcPr>
            <w:tcW w:w="459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(1）自动关闭层门装置的设置及有效性</w:t>
            </w:r>
          </w:p>
        </w:tc>
        <w:tc>
          <w:tcPr>
            <w:tcW w:w="8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4595" w:type="dxa"/>
            <w:gridSpan w:val="2"/>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(2）防止重块坠落的措施保持有效</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075"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*A1.2.7.7</w:t>
            </w:r>
          </w:p>
        </w:tc>
        <w:tc>
          <w:tcPr>
            <w:tcW w:w="1080"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紧急开锁</w:t>
            </w:r>
          </w:p>
        </w:tc>
        <w:tc>
          <w:tcPr>
            <w:tcW w:w="4595" w:type="dxa"/>
            <w:gridSpan w:val="2"/>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(1）层门紧急开锁装置的可靠性</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4595" w:type="dxa"/>
            <w:gridSpan w:val="2"/>
            <w:tcBorders>
              <w:top w:val="nil"/>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(2）从底坑中打开层门的措施 注：未按照TSG T7001-2023进行过监督检验，定期检验时可以不检验</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075"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*A1.2.7.8</w:t>
            </w:r>
          </w:p>
        </w:tc>
        <w:tc>
          <w:tcPr>
            <w:tcW w:w="1080" w:type="dxa"/>
            <w:gridSpan w:val="2"/>
            <w:vMerge w:val="restart"/>
            <w:tcBorders>
              <w:top w:val="nil"/>
              <w:left w:val="nil"/>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门的锁紧与闭合</w:t>
            </w:r>
          </w:p>
        </w:tc>
        <w:tc>
          <w:tcPr>
            <w:tcW w:w="4595" w:type="dxa"/>
            <w:gridSpan w:val="2"/>
            <w:tcBorders>
              <w:top w:val="single" w:color="auto" w:sz="4" w:space="0"/>
              <w:left w:val="single" w:color="auto" w:sz="4"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(1）锁紧动作执行的可靠性</w:t>
            </w:r>
          </w:p>
        </w:tc>
        <w:tc>
          <w:tcPr>
            <w:tcW w:w="80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vMerge w:val="continue"/>
            <w:tcBorders>
              <w:top w:val="nil"/>
              <w:left w:val="nil"/>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4595" w:type="dxa"/>
            <w:gridSpan w:val="2"/>
            <w:tcBorders>
              <w:top w:val="nil"/>
              <w:left w:val="single" w:color="auto" w:sz="4"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(2）轿厢在锁紧元件啮合不小于7mm(A）时才能启动</w:t>
            </w:r>
          </w:p>
        </w:tc>
        <w:tc>
          <w:tcPr>
            <w:tcW w:w="80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vMerge w:val="continue"/>
            <w:tcBorders>
              <w:top w:val="nil"/>
              <w:left w:val="nil"/>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4595"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(3）电气安全装置功能有效</w:t>
            </w:r>
          </w:p>
        </w:tc>
        <w:tc>
          <w:tcPr>
            <w:tcW w:w="80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4595" w:type="dxa"/>
            <w:gridSpan w:val="2"/>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(4）电气安全装置设置的合理性</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075"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*A1.3.1</w:t>
            </w:r>
          </w:p>
        </w:tc>
        <w:tc>
          <w:tcPr>
            <w:tcW w:w="1080"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应急救援试验</w:t>
            </w:r>
          </w:p>
        </w:tc>
        <w:tc>
          <w:tcPr>
            <w:tcW w:w="4595" w:type="dxa"/>
            <w:gridSpan w:val="2"/>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(1）应急救援程序的设置</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4595" w:type="dxa"/>
            <w:gridSpan w:val="2"/>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(2）应急救援通道</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vMerge w:val="continue"/>
            <w:tcBorders>
              <w:top w:val="nil"/>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4595" w:type="dxa"/>
            <w:gridSpan w:val="2"/>
            <w:tcBorders>
              <w:top w:val="nil"/>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(4）各种载荷工况下的救援操作</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075" w:type="dxa"/>
            <w:vMerge w:val="restart"/>
            <w:tcBorders>
              <w:top w:val="nil"/>
              <w:left w:val="nil"/>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A1.3.3</w:t>
            </w:r>
          </w:p>
        </w:tc>
        <w:tc>
          <w:tcPr>
            <w:tcW w:w="1080" w:type="dxa"/>
            <w:gridSpan w:val="2"/>
            <w:tcBorders>
              <w:top w:val="single" w:color="auto" w:sz="4" w:space="0"/>
              <w:left w:val="single" w:color="auto" w:sz="4"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轿厢超载保护装置</w:t>
            </w:r>
          </w:p>
        </w:tc>
        <w:tc>
          <w:tcPr>
            <w:tcW w:w="4595" w:type="dxa"/>
            <w:gridSpan w:val="2"/>
            <w:tcBorders>
              <w:top w:val="single" w:color="auto" w:sz="4" w:space="0"/>
              <w:left w:val="nil"/>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轿厢超载保护装置有效性 注：对于未按要求对轿厢超载</w:t>
            </w:r>
          </w:p>
        </w:tc>
        <w:tc>
          <w:tcPr>
            <w:tcW w:w="802" w:type="dxa"/>
            <w:vMerge w:val="restart"/>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tcBorders>
              <w:top w:val="nil"/>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459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保护置进电梯，允许轿厢内只提供听觉信号或者视觉信号</w:t>
            </w:r>
          </w:p>
        </w:tc>
        <w:tc>
          <w:tcPr>
            <w:tcW w:w="802" w:type="dxa"/>
            <w:vMerge w:val="continue"/>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075"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*A1.3.4</w:t>
            </w:r>
          </w:p>
        </w:tc>
        <w:tc>
          <w:tcPr>
            <w:tcW w:w="1080" w:type="dxa"/>
            <w:gridSpan w:val="2"/>
            <w:tcBorders>
              <w:top w:val="single" w:color="auto" w:sz="4" w:space="0"/>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斩厢（运载装置）</w:t>
            </w:r>
          </w:p>
        </w:tc>
        <w:tc>
          <w:tcPr>
            <w:tcW w:w="1075" w:type="dxa"/>
            <w:vMerge w:val="restart"/>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A1.3.4.1限速器</w:t>
            </w:r>
          </w:p>
        </w:tc>
        <w:tc>
          <w:tcPr>
            <w:tcW w:w="352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(1）封记完好，动作正常</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限速器﹣安全试验</w:t>
            </w: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35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(2）动作速度符合要求</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A13.42电气安全装置</w:t>
            </w:r>
          </w:p>
        </w:tc>
        <w:tc>
          <w:tcPr>
            <w:tcW w:w="35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(1）限速器电气安全装置有效</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352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(2）验证限速器复位状态的电气安全装置</w:t>
            </w:r>
          </w:p>
        </w:tc>
        <w:tc>
          <w:tcPr>
            <w:tcW w:w="80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35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80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352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(3）限速器绳断裂或者过分伸长的电气安全装置</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35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(4）轿厢安全钳电气安全装置</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tcBorders>
              <w:top w:val="nil"/>
              <w:left w:val="nil"/>
              <w:bottom w:val="single" w:color="auto"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7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A1.3.4.3联动试验</w:t>
            </w:r>
          </w:p>
        </w:tc>
        <w:tc>
          <w:tcPr>
            <w:tcW w:w="35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动作可靠</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075" w:type="dxa"/>
            <w:vMerge w:val="restart"/>
            <w:tcBorders>
              <w:top w:val="nil"/>
              <w:left w:val="nil"/>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*A1.3.5</w:t>
            </w:r>
          </w:p>
        </w:tc>
        <w:tc>
          <w:tcPr>
            <w:tcW w:w="1080" w:type="dxa"/>
            <w:gridSpan w:val="2"/>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对重（平衡重）限速器﹣安全错试验</w:t>
            </w:r>
          </w:p>
        </w:tc>
        <w:tc>
          <w:tcPr>
            <w:tcW w:w="1075" w:type="dxa"/>
            <w:tcBorders>
              <w:top w:val="nil"/>
              <w:left w:val="single" w:color="auto" w:sz="4"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A1.3.5.1限速器及电气安全装置</w:t>
            </w:r>
          </w:p>
        </w:tc>
        <w:tc>
          <w:tcPr>
            <w:tcW w:w="352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检查限速器及其电气安全装置</w:t>
            </w:r>
          </w:p>
        </w:tc>
        <w:tc>
          <w:tcPr>
            <w:tcW w:w="80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tcBorders>
              <w:top w:val="nil"/>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75"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352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80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75" w:type="dxa"/>
            <w:vMerge w:val="continue"/>
            <w:tcBorders>
              <w:top w:val="nil"/>
              <w:left w:val="nil"/>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1075"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A1.3.5.2联动试验</w:t>
            </w:r>
          </w:p>
        </w:tc>
        <w:tc>
          <w:tcPr>
            <w:tcW w:w="35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动作可靠</w:t>
            </w:r>
          </w:p>
        </w:tc>
        <w:tc>
          <w:tcPr>
            <w:tcW w:w="80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50" w:firstLineChars="100"/>
              <w:rPr>
                <w:rFonts w:hint="eastAsia" w:ascii="宋体" w:hAnsi="宋体" w:eastAsia="宋体" w:cs="宋体"/>
                <w:i w:val="0"/>
                <w:iCs w:val="0"/>
                <w:color w:val="000000"/>
                <w:sz w:val="18"/>
                <w:szCs w:val="18"/>
                <w:u w:val="none"/>
              </w:rPr>
            </w:pPr>
            <w:r>
              <w:rPr>
                <w:sz w:val="15"/>
                <w:szCs w:val="15"/>
                <w:lang w:val="en-US" w:eastAsia="zh-CN"/>
              </w:rPr>
              <w:br w:type="page"/>
            </w:r>
            <w:r>
              <w:rPr>
                <w:rFonts w:hint="eastAsia" w:ascii="宋体" w:hAnsi="宋体" w:eastAsia="宋体" w:cs="宋体"/>
                <w:i w:val="0"/>
                <w:iCs w:val="0"/>
                <w:color w:val="000000"/>
                <w:kern w:val="0"/>
                <w:sz w:val="18"/>
                <w:szCs w:val="18"/>
                <w:u w:val="none"/>
                <w:lang w:val="en-US" w:eastAsia="zh-CN" w:bidi="ar"/>
              </w:rPr>
              <w:t>32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缓冲器试验</w:t>
            </w:r>
          </w:p>
        </w:tc>
        <w:tc>
          <w:tcPr>
            <w:tcW w:w="4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试验后未出现对电梯正常使用有不利影响的损坏</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*A1.3.9</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破裂阀试验</w:t>
            </w:r>
          </w:p>
        </w:tc>
        <w:tc>
          <w:tcPr>
            <w:tcW w:w="4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检查破裂阀附近应有电梯整机制造单位规定的无需轿厢超载即可使破裂阀达到动作流量的手动操作方法</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A1.3.13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运行试验</w:t>
            </w:r>
          </w:p>
        </w:tc>
        <w:tc>
          <w:tcPr>
            <w:tcW w:w="4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各功能可靠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bl>
    <w:p>
      <w:pPr>
        <w:rPr>
          <w:sz w:val="15"/>
          <w:szCs w:val="15"/>
          <w:lang w:val="en-US" w:eastAsia="zh-CN"/>
        </w:rPr>
      </w:pPr>
    </w:p>
    <w:sectPr>
      <w:headerReference r:id="rId3" w:type="default"/>
      <w:footerReference r:id="rId4"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7140" w:firstLineChars="3400"/>
    </w:pPr>
    <w:r>
      <w:rPr>
        <w:rFonts w:hint="eastAsia" w:ascii="宋体" w:hAnsi="宋体" w:eastAsia="宋体" w:cs="宋体"/>
        <w:sz w:val="21"/>
        <w:szCs w:val="21"/>
      </w:rPr>
      <w:t>报告编号：</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AFD13F"/>
    <w:rsid w:val="3B5AE12C"/>
    <w:rsid w:val="3F776257"/>
    <w:rsid w:val="52BE248C"/>
    <w:rsid w:val="57FF2B82"/>
    <w:rsid w:val="5FDF8A45"/>
    <w:rsid w:val="6BE964E4"/>
    <w:rsid w:val="6CFFF768"/>
    <w:rsid w:val="71BBFF5C"/>
    <w:rsid w:val="72A65C1F"/>
    <w:rsid w:val="7AFD194A"/>
    <w:rsid w:val="7BBF14C2"/>
    <w:rsid w:val="7CCB10AB"/>
    <w:rsid w:val="7D3A0F89"/>
    <w:rsid w:val="7F77E350"/>
    <w:rsid w:val="BFD3525B"/>
    <w:rsid w:val="CAED08C6"/>
    <w:rsid w:val="CC7E78A7"/>
    <w:rsid w:val="DF79F1B0"/>
    <w:rsid w:val="FB5A4AFA"/>
    <w:rsid w:val="FEEE9090"/>
    <w:rsid w:val="FF5C4432"/>
    <w:rsid w:val="FFFBF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2024-05-28T09:11:00Z</dcterms:created>
  <dc:creator>huanghe</dc:creator>
  <cp:lastModifiedBy>huanghe</cp:lastModifiedBy>
  <dcterms:modified xsi:type="dcterms:W3CDTF">2024-07-31T15:42:53Z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528CAB7A549882CF4D084F6657D87BFF</vt:lpwstr>
  </property>
</Properties>
</file>