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41"/>
        </w:tabs>
        <w:snapToGrid w:val="0"/>
        <w:jc w:val="left"/>
        <w:rPr>
          <w:rFonts w:hint="eastAsia" w:ascii="宋体" w:hAnsi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zh-CN"/>
        </w:rPr>
        <w:tab/>
      </w:r>
    </w:p>
    <w:p>
      <w:pPr>
        <w:snapToGrid w:val="0"/>
        <w:jc w:val="center"/>
        <w:rPr>
          <w:rFonts w:hint="eastAsia" w:ascii="宋体" w:hAnsi="宋体" w:cs="宋体"/>
          <w:b/>
          <w:bCs/>
          <w:sz w:val="44"/>
          <w:szCs w:val="44"/>
          <w:lang w:val="zh-CN"/>
        </w:rPr>
      </w:pPr>
    </w:p>
    <w:p>
      <w:pPr>
        <w:snapToGrid w:val="0"/>
        <w:jc w:val="center"/>
        <w:rPr>
          <w:rFonts w:hint="eastAsia" w:ascii="宋体" w:hAnsi="宋体" w:cs="宋体"/>
          <w:b/>
          <w:bCs/>
          <w:sz w:val="44"/>
          <w:szCs w:val="44"/>
          <w:lang w:val="zh-CN"/>
        </w:rPr>
      </w:pPr>
    </w:p>
    <w:p>
      <w:pPr>
        <w:snapToGrid w:val="0"/>
        <w:jc w:val="both"/>
        <w:rPr>
          <w:rFonts w:hint="eastAsia" w:ascii="宋体" w:hAnsi="宋体" w:cs="宋体"/>
          <w:b/>
          <w:bCs/>
          <w:sz w:val="44"/>
          <w:szCs w:val="44"/>
          <w:lang w:val="zh-CN"/>
        </w:rPr>
      </w:pPr>
    </w:p>
    <w:p>
      <w:pPr>
        <w:snapToGrid w:val="0"/>
        <w:jc w:val="center"/>
        <w:rPr>
          <w:rFonts w:ascii="宋体" w:hAnsi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zh-CN"/>
        </w:rPr>
        <w:t>机械式停车设备自检报告</w:t>
      </w:r>
    </w:p>
    <w:p>
      <w:pPr>
        <w:jc w:val="center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</w:rPr>
      </w:pPr>
    </w:p>
    <w:tbl>
      <w:tblPr>
        <w:tblStyle w:val="6"/>
        <w:tblW w:w="7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4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使用单位：</w:t>
            </w:r>
          </w:p>
        </w:tc>
        <w:tc>
          <w:tcPr>
            <w:tcW w:w="494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设备类别：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设备品种：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设备型号规格：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设备代码：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使用登记证编号：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自检日期：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jc w:val="center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  <w:b/>
          <w:bCs/>
          <w:sz w:val="32"/>
          <w:szCs w:val="32"/>
          <w:lang w:val="zh-CN"/>
        </w:rPr>
      </w:pP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     </w:t>
      </w:r>
      <w:r>
        <w:rPr>
          <w:rFonts w:hint="eastAsia" w:ascii="宋体" w:hAnsi="宋体" w:cs="宋体"/>
          <w:b/>
          <w:bCs/>
          <w:sz w:val="32"/>
          <w:szCs w:val="32"/>
          <w:lang w:val="zh-CN"/>
        </w:rPr>
        <w:t>自检单位：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baseline"/>
        <w:rPr>
          <w:rFonts w:hint="eastAsia" w:ascii="宋体" w:hAnsi="宋体"/>
          <w:b/>
          <w:color w:val="auto"/>
          <w:sz w:val="24"/>
          <w:szCs w:val="24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baseline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一、设备基本情况</w:t>
      </w:r>
    </w:p>
    <w:tbl>
      <w:tblPr>
        <w:tblStyle w:val="5"/>
        <w:tblW w:w="102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3"/>
        <w:gridCol w:w="2535"/>
        <w:gridCol w:w="2129"/>
        <w:gridCol w:w="2382"/>
        <w:gridCol w:w="23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使用单位名称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使用单位地址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使用单位</w:t>
            </w:r>
          </w:p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0" w:lineRule="atLeast"/>
              <w:ind w:left="-105" w:leftChars="-50" w:right="-105" w:rightChars="-5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使用单位</w:t>
            </w:r>
          </w:p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安全管理人员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使用单位联系人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制造单位名称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6" w:beforeLines="2" w:after="6" w:afterLines="2" w:line="340" w:lineRule="atLeas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改造（重大修理）单位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6" w:beforeLines="2" w:after="6" w:afterLines="2" w:line="340" w:lineRule="atLeas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设备类别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设备品种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6" w:beforeLines="2" w:after="6" w:afterLines="2" w:line="340" w:lineRule="atLeast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型号规格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设备代码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产品编号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制造日期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2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单位内编号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投入使用日期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设计使用年限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使用登记证编号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设备注册代码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" w:beforeLines="2" w:after="6" w:afterLines="2" w:line="3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设备</w:t>
            </w:r>
          </w:p>
          <w:p>
            <w:pPr>
              <w:adjustRightInd w:val="0"/>
              <w:snapToGrid w:val="0"/>
              <w:spacing w:before="6" w:beforeLines="2" w:after="6" w:afterLines="2" w:line="3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</w:t>
            </w:r>
          </w:p>
          <w:p>
            <w:pPr>
              <w:adjustRightInd w:val="0"/>
              <w:snapToGrid w:val="0"/>
              <w:spacing w:before="6" w:beforeLines="2" w:after="6" w:afterLines="2" w:line="3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参数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适停汽车质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量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适停汽车尺寸</w:t>
            </w:r>
          </w:p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（长x宽x高）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" w:beforeLines="2" w:after="6" w:afterLines="2" w:line="3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单车最大进（出）车时间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层数（层）/存容量(辆)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" w:beforeLines="2" w:after="6" w:afterLines="2" w:line="3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工作级别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额定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速度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m/min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" w:beforeLines="2" w:after="6" w:afterLines="2" w:line="3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额定运行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速度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m/min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其他主要参数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80" w:lineRule="exact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使用环境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□露天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非露天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□其它：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自检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依据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《起重机械安全技术规程》(TSG 51—2023)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自检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结论</w:t>
            </w:r>
          </w:p>
        </w:tc>
        <w:tc>
          <w:tcPr>
            <w:tcW w:w="6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63" w:hRule="atLeast"/>
          <w:jc w:val="center"/>
        </w:trPr>
        <w:tc>
          <w:tcPr>
            <w:tcW w:w="54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rPr>
                <w:rFonts w:hAnsi="宋体" w:cs="Calibri"/>
              </w:rPr>
            </w:pPr>
            <w:r>
              <w:rPr>
                <w:rFonts w:hint="eastAsia" w:hAnsi="宋体"/>
              </w:rPr>
              <w:t>自检人员（签名）：</w:t>
            </w:r>
            <w:r>
              <w:rPr>
                <w:rFonts w:hAnsi="宋体" w:cs="Calibri"/>
              </w:rPr>
              <w:t xml:space="preserve">                 </w:t>
            </w:r>
          </w:p>
          <w:p>
            <w:pPr>
              <w:pStyle w:val="10"/>
              <w:spacing w:line="440" w:lineRule="exact"/>
              <w:rPr>
                <w:rFonts w:hAnsi="宋体" w:cs="Calibri"/>
              </w:rPr>
            </w:pPr>
          </w:p>
          <w:p>
            <w:pPr>
              <w:pStyle w:val="10"/>
              <w:spacing w:line="440" w:lineRule="exact"/>
              <w:rPr>
                <w:rFonts w:hAnsi="宋体" w:cs="Calibri"/>
              </w:rPr>
            </w:pPr>
            <w:r>
              <w:rPr>
                <w:rFonts w:hint="eastAsia" w:hAnsi="宋体"/>
              </w:rPr>
              <w:t>审核人（签名）：</w:t>
            </w:r>
            <w:r>
              <w:rPr>
                <w:rFonts w:hAnsi="宋体" w:cs="Calibri"/>
              </w:rPr>
              <w:t xml:space="preserve">                 </w:t>
            </w:r>
          </w:p>
          <w:p>
            <w:pPr>
              <w:pStyle w:val="10"/>
              <w:spacing w:line="440" w:lineRule="exact"/>
              <w:rPr>
                <w:rFonts w:hAnsi="宋体" w:cs="Calibri"/>
              </w:rPr>
            </w:pPr>
          </w:p>
          <w:p>
            <w:pPr>
              <w:pStyle w:val="10"/>
              <w:spacing w:line="440" w:lineRule="exact"/>
              <w:ind w:firstLine="3360" w:firstLineChars="1400"/>
              <w:rPr>
                <w:rFonts w:hAnsi="宋体"/>
              </w:rPr>
            </w:pPr>
            <w:r>
              <w:rPr>
                <w:rFonts w:hint="eastAsia" w:hAnsi="宋体"/>
              </w:rPr>
              <w:t>自检单位</w:t>
            </w:r>
          </w:p>
          <w:p>
            <w:pPr>
              <w:pStyle w:val="10"/>
              <w:spacing w:line="440" w:lineRule="exact"/>
              <w:ind w:firstLine="2880" w:firstLineChars="1200"/>
              <w:rPr>
                <w:rFonts w:hAnsi="宋体"/>
              </w:rPr>
            </w:pPr>
            <w:r>
              <w:rPr>
                <w:rFonts w:hAnsi="宋体"/>
              </w:rPr>
              <w:t>(</w:t>
            </w:r>
            <w:r>
              <w:rPr>
                <w:rFonts w:hint="eastAsia" w:hAnsi="宋体"/>
              </w:rPr>
              <w:t>公章或检验专用章</w:t>
            </w:r>
            <w:r>
              <w:rPr>
                <w:rFonts w:hAnsi="宋体"/>
              </w:rPr>
              <w:t xml:space="preserve">)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360" w:firstLineChars="16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</w:rPr>
              <w:t>年</w:t>
            </w:r>
            <w:r>
              <w:rPr>
                <w:rFonts w:hAnsi="宋体" w:cs="Calibri"/>
              </w:rPr>
              <w:t xml:space="preserve">   </w:t>
            </w:r>
            <w:r>
              <w:rPr>
                <w:rFonts w:hint="eastAsia" w:hAnsi="宋体"/>
              </w:rPr>
              <w:t>月</w:t>
            </w:r>
            <w:r>
              <w:rPr>
                <w:rFonts w:hAnsi="宋体" w:cs="Calibri"/>
              </w:rPr>
              <w:t xml:space="preserve">   </w:t>
            </w:r>
            <w:r>
              <w:rPr>
                <w:rFonts w:hint="eastAsia" w:hAnsi="宋体"/>
              </w:rPr>
              <w:t>日</w:t>
            </w:r>
          </w:p>
        </w:tc>
        <w:tc>
          <w:tcPr>
            <w:tcW w:w="4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rPr>
                <w:rFonts w:hAnsi="宋体"/>
              </w:rPr>
            </w:pPr>
            <w:r>
              <w:rPr>
                <w:rFonts w:hint="eastAsia" w:hAnsi="宋体"/>
              </w:rPr>
              <w:t>安全管理人员：</w:t>
            </w:r>
          </w:p>
          <w:p>
            <w:pPr>
              <w:pStyle w:val="10"/>
              <w:spacing w:line="440" w:lineRule="exact"/>
              <w:rPr>
                <w:rFonts w:hAnsi="宋体"/>
              </w:rPr>
            </w:pPr>
          </w:p>
          <w:p>
            <w:pPr>
              <w:pStyle w:val="10"/>
              <w:spacing w:line="440" w:lineRule="exact"/>
              <w:rPr>
                <w:rFonts w:hAnsi="宋体"/>
              </w:rPr>
            </w:pPr>
          </w:p>
          <w:p>
            <w:pPr>
              <w:pStyle w:val="10"/>
              <w:spacing w:line="440" w:lineRule="exact"/>
              <w:ind w:firstLine="1680" w:firstLineChars="700"/>
              <w:rPr>
                <w:rFonts w:hAnsi="宋体"/>
              </w:rPr>
            </w:pPr>
          </w:p>
          <w:p>
            <w:pPr>
              <w:pStyle w:val="10"/>
              <w:spacing w:line="440" w:lineRule="exact"/>
              <w:ind w:firstLine="2400" w:firstLineChars="1000"/>
              <w:rPr>
                <w:rFonts w:hAnsi="宋体"/>
              </w:rPr>
            </w:pPr>
            <w:r>
              <w:rPr>
                <w:rFonts w:hint="eastAsia" w:hAnsi="宋体"/>
              </w:rPr>
              <w:t>使用单位</w:t>
            </w:r>
            <w:r>
              <w:rPr>
                <w:rFonts w:hAnsi="宋体"/>
              </w:rPr>
              <w:t>(</w:t>
            </w:r>
            <w:r>
              <w:rPr>
                <w:rFonts w:hint="eastAsia" w:hAnsi="宋体"/>
              </w:rPr>
              <w:t>公章</w:t>
            </w:r>
            <w:r>
              <w:rPr>
                <w:rFonts w:hAnsi="宋体"/>
              </w:rPr>
              <w:t xml:space="preserve">) </w:t>
            </w:r>
          </w:p>
          <w:p>
            <w:pPr>
              <w:pStyle w:val="9"/>
              <w:snapToGrid w:val="0"/>
              <w:spacing w:line="290" w:lineRule="exact"/>
              <w:ind w:left="0" w:leftChars="0" w:firstLine="2730" w:firstLineChars="13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</w:rPr>
              <w:t>年</w:t>
            </w:r>
            <w:r>
              <w:rPr>
                <w:rFonts w:hAnsi="宋体" w:cs="Calibri"/>
              </w:rPr>
              <w:t xml:space="preserve">   </w:t>
            </w:r>
            <w:r>
              <w:rPr>
                <w:rFonts w:hint="eastAsia" w:hAnsi="宋体"/>
              </w:rPr>
              <w:t>月</w:t>
            </w:r>
            <w:r>
              <w:rPr>
                <w:rFonts w:hAnsi="宋体" w:cs="Calibri"/>
              </w:rPr>
              <w:t xml:space="preserve">   </w:t>
            </w:r>
            <w:r>
              <w:rPr>
                <w:rFonts w:hint="eastAsia" w:hAnsi="宋体"/>
              </w:rPr>
              <w:t>日</w:t>
            </w:r>
            <w:r>
              <w:rPr>
                <w:rFonts w:hAnsi="宋体" w:cs="Calibri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baseline"/>
        <w:rPr>
          <w:rFonts w:hint="eastAsia" w:ascii="宋体" w:hAnsi="宋体"/>
          <w:b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baseline"/>
        <w:rPr>
          <w:rFonts w:hint="default" w:ascii="宋体" w:hAnsi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二、检验项目表</w:t>
      </w:r>
    </w:p>
    <w:tbl>
      <w:tblPr>
        <w:tblStyle w:val="5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75"/>
        <w:gridCol w:w="1392"/>
        <w:gridCol w:w="5381"/>
        <w:gridCol w:w="1377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7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项目及内容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和要求</w:t>
            </w:r>
          </w:p>
        </w:tc>
        <w:tc>
          <w:tcPr>
            <w:tcW w:w="13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结果</w:t>
            </w:r>
          </w:p>
        </w:tc>
        <w:tc>
          <w:tcPr>
            <w:tcW w:w="11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自检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内容和要求</w:t>
            </w:r>
          </w:p>
        </w:tc>
        <w:tc>
          <w:tcPr>
            <w:tcW w:w="13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C2.2.8 使用过程技术资料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根据使用单位提供的技术文件，自查上次检验报告、使用登记证以及使用单位使用记录(包括日常使用状况记录、日常维护保养记录、自行检查记录、修理记录、运行故障和事故记录等)是否齐全，并且是否存档保管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C3.5.3 标记、产品铭牌与安全警示标志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检查标记、产品铭牌与安全警示标志是否符合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TSG 51—2023中3.2.5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与3.3.4的规定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C3.7.3 </w:t>
            </w:r>
          </w:p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金属结构检查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(1)主要受力结构件的连接焊缝无明显可见的裂纹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(2)主要受力结构件断面有效厚度不低于设计厚度的90%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(3)螺栓和销轴等连接无明显松动、缺件、损坏等缺陷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C3.7.4</w:t>
            </w:r>
          </w:p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门、梯子、走台和栏杆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检查是否按照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TSG 51—2023中2.7.2(1)～2.7.2(5)、2.7.3(1)～2.7.3(9)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和设计文件要求设置了梯子、扶手、护圈、平台、走台、踢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脚板和栏杆等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C3.8.1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主要零部件检查的一般要求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(1)钢丝绳的固定连接、压板或者绳夹的数量、钢丝绳安全圈数和绕绳余量应当符合TSG 51—2023中A3.1.2、A3.1.3的规定；链条与链轮应当啮合正确，无卡阻和冲击现象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(3)滑轮防钢丝绳脱槽装置应当符合TSG 51—2023中2.5.2(1)的规定 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C3.9液压和气动系统检查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检查液压系统和气动系统是否符合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TSG 51—2023中2.6.2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(1)～(4)、2.6.3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的规定和设计文件的要求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C3.10司机室检查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检查是否按照设计图样的要求配置司机室；司机室的配置及其防护是否符合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TSG 51—2023中2.7.1(1)～(7)的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规定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C3.1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电气设备及元件的选择和防护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" w:beforeLines="3" w:after="9" w:afterLines="3" w:line="29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(1)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检查电气设备及元件的选择和防护是否符合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TSG 51—2023中2.6.1.1、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A4.1.1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的规定，电气设备功能是否齐全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C3.11.2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无线遥控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(1)检查无线遥控装置的设置是否符合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TSG 51—2023中A4.1.3.2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(1)～(4)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的规定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C3.11.3</w:t>
            </w:r>
          </w:p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电气保护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83" w:leftChars="0" w:hanging="283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电动机保护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83" w:leftChars="0" w:hanging="283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线路保护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283" w:leftChars="0" w:hanging="283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错相和缺相保护 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283" w:leftChars="0" w:hanging="283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失压保护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283" w:leftChars="0" w:hanging="283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接地与防雷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283" w:leftChars="0" w:hanging="283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联锁保护 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C3.11.4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隔离开关和总断路器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检查隔离开关和总断路器的配置是否符合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TSG 51—2023中2.6.1.2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(2)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的规定和设计文件的要求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C3.11.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急停开关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检查急停开关是否符合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/>
              </w:rPr>
              <w:t>TSG 51—2023中2.6.1.4.1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的规定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C3.11.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照明设备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设计要求配置有照明设备的，检查照明回路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/>
              </w:rPr>
              <w:t>的电源是否不受起重机械动力电源总开关切断的影响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C3.12.3.2 制动装置控制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eastAsia="zh-CN"/>
              </w:rPr>
              <w:t>检查制动装置的控制是否符合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TSG 51—2023中2.6.1.5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eastAsia="zh-CN"/>
              </w:rPr>
              <w:t>的规定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C3.12.3.3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制动装置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零件状况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/>
              </w:rPr>
              <w:t>(1)制动器零件无裂纹、过度磨损(摩擦片磨损达原厚度的50%或者露出铆钉)、塑性变形、缺件等缺陷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/>
              </w:rPr>
              <w:t>(2)制动器打开时制动轮与摩擦片无摩擦现象，制动器闭合时制动轮与摩擦片接触均匀，无影响制动性能的缺陷和油污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/>
              </w:rPr>
              <w:t>(3)制动器推动器无漏油现象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C3.12.4 除制动装置之外的安全保护和防护装置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(1)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缓冲器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超载检测限制装置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(3)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汽车长宽高限制装置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(4)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防坠落装置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(5)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安全钳和限速器运行可靠（人车共乘式）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(6)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防止超限运行装置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(7)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人车误入检出装置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(8)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防止超限运行装置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(9)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人车误入检出装置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(10)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载车板上汽车位置检测装置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(11)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出入口、围栏门联锁保护装置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(12)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自动门防夹装置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(13)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防重叠自动检测装置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(14)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警示装置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(15)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轨道端部止挡装置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(16)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松绳（链）检测装置或载车板倾斜检测装置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(17)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运转限制装置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(18)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控制联锁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/>
              </w:rPr>
              <w:t>(19)载车板锁定装置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/>
              </w:rPr>
              <w:t>(20)紧急联络装置（人车共乘式）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/>
              </w:rPr>
              <w:t>C3.14绝缘电阻检查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电气设备进行绝缘检查，结果是否符合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TSG 51—2023中2.6.1.8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的规定和设计文件的要求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C4.2.2.1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操纵、控制、联锁、互锁、馈电情况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操纵系统、控制系统、联锁、互锁装置动作可靠、准确，馈电装置工作正常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C4.2.2.2</w:t>
            </w:r>
          </w:p>
          <w:p>
            <w:pPr>
              <w:adjustRightInd w:val="0"/>
              <w:snapToGrid w:val="0"/>
              <w:spacing w:before="9" w:beforeLines="3" w:after="9" w:afterLines="3" w:line="33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限位装置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各限位装置(如起升高度、下降深度、运行行程等行程限位器)动作可靠、准确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C4.2.2.3</w:t>
            </w:r>
          </w:p>
          <w:p>
            <w:pPr>
              <w:adjustRightInd w:val="0"/>
              <w:snapToGrid w:val="0"/>
              <w:spacing w:before="9" w:beforeLines="3" w:after="9" w:afterLines="3" w:line="33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液压系统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液压系统工作压力符合设计文件的要求，并且系统无泄露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C4.2.2.4</w:t>
            </w:r>
          </w:p>
          <w:p>
            <w:pPr>
              <w:adjustRightInd w:val="0"/>
              <w:snapToGrid w:val="0"/>
              <w:spacing w:before="9" w:beforeLines="3" w:after="9" w:afterLines="3" w:line="33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运转情况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各工作机构动作平稳、运行正常，能够实现规定的功能和动作，无爬行、震颤、冲击、过热、异常噪声等现象；起重机械沿轨道全长运行无啃轨现象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C4.2.2.1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操纵、控制、联锁、互锁、馈电情况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操纵系统、控制系统、联锁、互锁装置动作可靠、准确，馈电装置工作正常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C4.2.2.2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限位装置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各限位装置(如起升高度、下降深度、运行行程等行程限位器)动作可靠、准确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C4.2.2.3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液压系统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液压系统工作压力符合设计文件的要求，并且系统无泄露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C4.2.2.4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运转情况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</w:rPr>
              <w:t>各工作机构动作平稳、运行正常，能够实现规定的功能和动作，无爬行、震颤、冲击、过热、异常噪声等现象；起重机械沿轨道全长运行无啃轨现象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C4.3.2.1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各机构速度</w:t>
            </w:r>
          </w:p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起升速度</w:t>
            </w:r>
          </w:p>
        </w:tc>
        <w:tc>
          <w:tcPr>
            <w:tcW w:w="1377" w:type="dxa"/>
            <w:tcBorders>
              <w:tl2br w:val="nil"/>
              <w:tr2bl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exact"/>
              <w:ind w:lef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下降速度</w:t>
            </w:r>
          </w:p>
        </w:tc>
        <w:tc>
          <w:tcPr>
            <w:tcW w:w="1377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12" w:lineRule="exact"/>
              <w:ind w:left="0" w:leftChars="0" w:firstLine="0" w:firstLineChars="0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运行速度</w:t>
            </w:r>
          </w:p>
        </w:tc>
        <w:tc>
          <w:tcPr>
            <w:tcW w:w="1377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12" w:lineRule="exact"/>
              <w:ind w:left="0" w:leftChars="0" w:firstLine="0" w:firstLineChars="0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C4.3.2.2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制动器性能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/>
              </w:rPr>
              <w:t>制动器制动动作灵活、制动可靠。当标准和设计文件对起升机构有制动距离要求时，应当在允许范围内</w:t>
            </w:r>
          </w:p>
        </w:tc>
        <w:tc>
          <w:tcPr>
            <w:tcW w:w="1377" w:type="dxa"/>
            <w:tcBorders>
              <w:tl2br w:val="nil"/>
              <w:tr2bl w:val="nil"/>
            </w:tcBorders>
          </w:tcPr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C4.3.2.3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各机构同步性能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设计文件对各工作机构有同步速度要求的，其同步性能应当符合规定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C4.3.2.4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主要零部件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主要零部件无可见损坏等现象</w:t>
            </w:r>
          </w:p>
        </w:tc>
        <w:tc>
          <w:tcPr>
            <w:tcW w:w="1377" w:type="dxa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C4.3.2.5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专项试验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/>
              </w:rPr>
              <w:t>(1)单车最大进(出)时间误差在设计值的±10%范围内</w:t>
            </w:r>
          </w:p>
        </w:tc>
        <w:tc>
          <w:tcPr>
            <w:tcW w:w="1377" w:type="dxa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32"/>
                <w:sz w:val="21"/>
                <w:szCs w:val="21"/>
                <w:lang w:val="en-US" w:eastAsia="zh-CN"/>
              </w:rPr>
              <w:t>(2)汽车专用升降类机械式停车设备平层精度，应当符合TSG 51-2023的规定</w:t>
            </w:r>
          </w:p>
        </w:tc>
        <w:tc>
          <w:tcPr>
            <w:tcW w:w="1377" w:type="dxa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C4.9.8.1 漏磁检查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2mm处≤15Gs、50mm处≤5Gs、100mm处≤2Gs</w:t>
            </w:r>
          </w:p>
        </w:tc>
        <w:tc>
          <w:tcPr>
            <w:tcW w:w="1377" w:type="dxa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C4.9.8.2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紧急制动试验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试验时，观察制动器是否能够有效支持住载荷，并且测量制动距离，检查制动距离是否符合TSG 51—2023中2.5.6要求</w:t>
            </w:r>
          </w:p>
        </w:tc>
        <w:tc>
          <w:tcPr>
            <w:tcW w:w="1377" w:type="dxa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C4.9.8.3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冗余超速保护试验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(1)试验时，观察超速保护开关是否起作用；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(2)试验时，观察冗余超速保护功能是否起作用</w:t>
            </w:r>
          </w:p>
        </w:tc>
        <w:tc>
          <w:tcPr>
            <w:tcW w:w="1377" w:type="dxa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C4.9.8.4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过热保护功能试验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试验时，观察起重机械是否能够自动停机</w:t>
            </w:r>
          </w:p>
        </w:tc>
        <w:tc>
          <w:tcPr>
            <w:tcW w:w="1377" w:type="dxa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C4.9.8.5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过电流保护功能试验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试验时，观察起重机械是否能够自动停机</w:t>
            </w:r>
          </w:p>
        </w:tc>
        <w:tc>
          <w:tcPr>
            <w:tcW w:w="1377" w:type="dxa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C4.9.8.6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单制动试验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试验时，观察制动器是否能够有效支持住载荷</w:t>
            </w:r>
          </w:p>
        </w:tc>
        <w:tc>
          <w:tcPr>
            <w:tcW w:w="1377" w:type="dxa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C4.9.8.7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采用永磁直驱电动机作为起升机构的起重机械禁用要求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采用永磁直驱电动机作为起升机构的该类起重机，不得用于吊运熔融金属、易燃易爆化学品和危险品，并且不得在强磁场等环境中使用</w:t>
            </w:r>
          </w:p>
        </w:tc>
        <w:tc>
          <w:tcPr>
            <w:tcW w:w="1377" w:type="dxa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C4.9.9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具有自动化功能的起重机械专项试验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对具有自动化功能的起重机械，应当根据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TSG 51—2023中A6.4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和设计文件中风险控制措施的要求，制定检验项目，对电气系统等进行功能验证与试验</w:t>
            </w:r>
          </w:p>
        </w:tc>
        <w:tc>
          <w:tcPr>
            <w:tcW w:w="1377" w:type="dxa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477" w:leftChars="0" w:hanging="42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53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b w:val="0"/>
          <w:bCs w:val="0"/>
          <w:i/>
          <w:iCs/>
        </w:rPr>
      </w:pPr>
      <w:r>
        <w:rPr>
          <w:rFonts w:hint="eastAsia" w:ascii="宋体" w:hAnsi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>注：</w:t>
      </w:r>
      <w:r>
        <w:rPr>
          <w:rFonts w:hint="eastAsia" w:ascii="宋体" w:hAnsi="宋体" w:eastAsia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 xml:space="preserve">C4.9.8 </w:t>
      </w:r>
      <w:r>
        <w:rPr>
          <w:rFonts w:hint="eastAsia" w:ascii="宋体" w:hAnsi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>.1--</w:t>
      </w:r>
      <w:r>
        <w:rPr>
          <w:rFonts w:hint="eastAsia" w:ascii="宋体" w:hAnsi="宋体" w:eastAsia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 xml:space="preserve">C4.9.8 </w:t>
      </w:r>
      <w:r>
        <w:rPr>
          <w:rFonts w:hint="eastAsia" w:ascii="宋体" w:hAnsi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>.7</w:t>
      </w:r>
      <w:r>
        <w:rPr>
          <w:rFonts w:hint="eastAsia" w:ascii="宋体" w:hAnsi="宋体" w:eastAsia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>仅适用于</w:t>
      </w:r>
      <w:r>
        <w:rPr>
          <w:rFonts w:hint="eastAsia" w:ascii="宋体" w:hAnsi="宋体" w:eastAsia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>采用永磁直驱电动机作为起升机构的起重机械专项试验</w:t>
      </w:r>
    </w:p>
    <w:p>
      <w:pPr>
        <w:spacing w:before="159" w:beforeLines="50" w:after="159" w:afterLines="50"/>
        <w:rPr>
          <w:rFonts w:hint="default" w:eastAsiaTheme="minorEastAsia"/>
          <w:i/>
          <w:iCs/>
          <w:color w:val="0000FF"/>
          <w:u w:val="none"/>
          <w:shd w:val="clear" w:color="auto" w:fill="auto"/>
          <w:lang w:val="en-US" w:eastAsia="zh-CN"/>
        </w:rPr>
      </w:pPr>
      <w:r>
        <w:rPr>
          <w:rFonts w:hint="eastAsia"/>
          <w:color w:val="0000FF"/>
          <w:u w:val="none"/>
          <w:lang w:val="en-US" w:eastAsia="zh-CN"/>
        </w:rPr>
        <w:t>备注：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 xml:space="preserve">“自检结果”栏填写 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符合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、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数据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、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 xml:space="preserve"> /  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；“自检结论”栏填写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合格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、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/</w:t>
      </w:r>
    </w:p>
    <w:p>
      <w:pP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A0221F1-DE4D-4086-9763-5727B043F90B}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340" w:lineRule="exact"/>
      <w:ind w:firstLine="496"/>
      <w:jc w:val="center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830" w:firstLineChars="2300"/>
      <w:rPr>
        <w:rFonts w:hint="eastAsia" w:eastAsia="宋体"/>
        <w:sz w:val="21"/>
        <w:szCs w:val="21"/>
        <w:lang w:eastAsia="zh-CN"/>
      </w:rPr>
    </w:pPr>
    <w:r>
      <w:rPr>
        <w:rFonts w:hint="eastAsia"/>
        <w:sz w:val="21"/>
        <w:szCs w:val="21"/>
        <w:lang w:eastAsia="zh-CN"/>
      </w:rPr>
      <w:t>报告编号：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53926"/>
    <w:multiLevelType w:val="singleLevel"/>
    <w:tmpl w:val="81953926"/>
    <w:lvl w:ilvl="0" w:tentative="0">
      <w:start w:val="1"/>
      <w:numFmt w:val="decimal"/>
      <w:suff w:val="nothing"/>
      <w:lvlText w:val="%1"/>
      <w:lvlJc w:val="center"/>
      <w:pPr>
        <w:tabs>
          <w:tab w:val="left" w:pos="420"/>
        </w:tabs>
        <w:ind w:left="477" w:leftChars="0" w:hanging="425" w:firstLineChars="0"/>
      </w:pPr>
      <w:rPr>
        <w:rFonts w:hint="default"/>
      </w:rPr>
    </w:lvl>
  </w:abstractNum>
  <w:abstractNum w:abstractNumId="1">
    <w:nsid w:val="81C8FF52"/>
    <w:multiLevelType w:val="singleLevel"/>
    <w:tmpl w:val="81C8FF5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TVmNWJhY2U3NWVjMzVjNDQ5MDJkYTFiMWI5MmUifQ=="/>
  </w:docVars>
  <w:rsids>
    <w:rsidRoot w:val="77151F65"/>
    <w:rsid w:val="00926A5A"/>
    <w:rsid w:val="01611F49"/>
    <w:rsid w:val="01D1778E"/>
    <w:rsid w:val="02F50CC2"/>
    <w:rsid w:val="02F935F4"/>
    <w:rsid w:val="05325EA0"/>
    <w:rsid w:val="0B786787"/>
    <w:rsid w:val="0DEF750B"/>
    <w:rsid w:val="0ED52725"/>
    <w:rsid w:val="0F631C48"/>
    <w:rsid w:val="1092654A"/>
    <w:rsid w:val="1A5D4A49"/>
    <w:rsid w:val="2138267D"/>
    <w:rsid w:val="337E2486"/>
    <w:rsid w:val="3F055FB6"/>
    <w:rsid w:val="40905D53"/>
    <w:rsid w:val="41E15264"/>
    <w:rsid w:val="43472E25"/>
    <w:rsid w:val="44583605"/>
    <w:rsid w:val="48B445F1"/>
    <w:rsid w:val="4B024BBA"/>
    <w:rsid w:val="4E6F6FA8"/>
    <w:rsid w:val="4F0812DE"/>
    <w:rsid w:val="4F8E5B53"/>
    <w:rsid w:val="4FEC1249"/>
    <w:rsid w:val="55170A34"/>
    <w:rsid w:val="5770454B"/>
    <w:rsid w:val="5A0507C0"/>
    <w:rsid w:val="5B7473AC"/>
    <w:rsid w:val="5BD7506E"/>
    <w:rsid w:val="5C4D7325"/>
    <w:rsid w:val="611F54B2"/>
    <w:rsid w:val="620D6DAC"/>
    <w:rsid w:val="654523B9"/>
    <w:rsid w:val="6B2A089E"/>
    <w:rsid w:val="6CDB7153"/>
    <w:rsid w:val="77151F65"/>
    <w:rsid w:val="77C627AC"/>
    <w:rsid w:val="7BE2675B"/>
    <w:rsid w:val="7CFA17F1"/>
    <w:rsid w:val="7E82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Calibri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0"/>
    <w:pPr>
      <w:spacing w:after="120" w:line="480" w:lineRule="auto"/>
      <w:ind w:left="420" w:leftChars="200"/>
    </w:pPr>
    <w:rPr>
      <w:rFonts w:cs="Times New Roman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段"/>
    <w:basedOn w:val="1"/>
    <w:autoRedefine/>
    <w:qFormat/>
    <w:uiPriority w:val="99"/>
    <w:pPr>
      <w:snapToGrid w:val="0"/>
      <w:spacing w:line="400" w:lineRule="exact"/>
      <w:ind w:firstLine="200" w:firstLineChars="200"/>
      <w:textAlignment w:val="auto"/>
    </w:pPr>
    <w:rPr>
      <w:rFonts w:eastAsia="方正书宋简体" w:cs="Times New Roman"/>
      <w:spacing w:val="4"/>
      <w:sz w:val="24"/>
    </w:rPr>
  </w:style>
  <w:style w:type="paragraph" w:customStyle="1" w:styleId="9">
    <w:name w:val="2"/>
    <w:basedOn w:val="1"/>
    <w:next w:val="2"/>
    <w:autoRedefine/>
    <w:qFormat/>
    <w:uiPriority w:val="0"/>
    <w:pPr>
      <w:spacing w:line="360" w:lineRule="auto"/>
      <w:ind w:left="525" w:firstLine="480"/>
    </w:p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4342</Words>
  <Characters>5007</Characters>
  <Lines>0</Lines>
  <Paragraphs>0</Paragraphs>
  <TotalTime>0</TotalTime>
  <ScaleCrop>false</ScaleCrop>
  <LinksUpToDate>false</LinksUpToDate>
  <CharactersWithSpaces>5206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2023-10-18T17:56:00Z</dcterms:created>
  <dc:creator>Ryan</dc:creator>
  <cp:lastModifiedBy>春华秋实</cp:lastModifiedBy>
  <dcterms:modified xsi:type="dcterms:W3CDTF">2024-05-04T11:12:55Z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26969F80C6674BC4BFE6B02184D4D597_13</vt:lpwstr>
  </property>
</Properties>
</file>